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AB" w:rsidRPr="002416AB" w:rsidRDefault="002416AB" w:rsidP="0099027B">
      <w:pPr>
        <w:pStyle w:val="a3"/>
        <w:rPr>
          <w:rFonts w:asciiTheme="minorHAnsi" w:hAnsiTheme="minorHAnsi" w:cstheme="minorHAnsi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  <w:lang w:val="uk-UA"/>
        </w:rPr>
        <w:t>Форма тендерної документації – Додаток В</w:t>
      </w:r>
    </w:p>
    <w:p w:rsidR="002416AB" w:rsidRPr="001B7DFA" w:rsidRDefault="002416AB" w:rsidP="0099027B">
      <w:pPr>
        <w:pStyle w:val="a3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E25022" w:rsidRPr="001B7DFA" w:rsidRDefault="00E25022" w:rsidP="0099027B">
      <w:pPr>
        <w:pStyle w:val="a3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1B7DFA">
        <w:rPr>
          <w:rFonts w:asciiTheme="minorHAnsi" w:hAnsiTheme="minorHAnsi" w:cstheme="minorHAnsi"/>
          <w:b/>
          <w:sz w:val="24"/>
          <w:szCs w:val="24"/>
          <w:lang w:val="ru-RU"/>
        </w:rPr>
        <w:t>Критерії виключення</w:t>
      </w:r>
    </w:p>
    <w:p w:rsidR="00E25022" w:rsidRPr="001B7DFA" w:rsidRDefault="00E25022" w:rsidP="0099027B">
      <w:pPr>
        <w:pStyle w:val="a3"/>
        <w:rPr>
          <w:rFonts w:asciiTheme="minorHAnsi" w:hAnsiTheme="minorHAnsi" w:cstheme="minorHAnsi"/>
          <w:sz w:val="24"/>
          <w:szCs w:val="24"/>
          <w:lang w:val="ru-RU"/>
        </w:rPr>
      </w:pPr>
    </w:p>
    <w:p w:rsidR="00E25022" w:rsidRPr="001B7DFA" w:rsidRDefault="00E25022" w:rsidP="0099027B">
      <w:pPr>
        <w:pStyle w:val="a3"/>
        <w:rPr>
          <w:rFonts w:asciiTheme="minorHAnsi" w:hAnsiTheme="minorHAnsi" w:cstheme="minorHAnsi"/>
          <w:sz w:val="24"/>
          <w:szCs w:val="24"/>
          <w:lang w:val="ru-RU"/>
        </w:rPr>
      </w:pPr>
      <w:r w:rsidRPr="001B7DFA">
        <w:rPr>
          <w:rFonts w:asciiTheme="minorHAnsi" w:hAnsiTheme="minorHAnsi" w:cstheme="minorHAnsi"/>
          <w:sz w:val="24"/>
          <w:szCs w:val="24"/>
          <w:lang w:val="ru-RU"/>
        </w:rPr>
        <w:t>Ці критерії відповідають правилам для ЄС контрактів (</w:t>
      </w:r>
      <w:r w:rsidRPr="0099027B">
        <w:rPr>
          <w:rFonts w:asciiTheme="minorHAnsi" w:hAnsiTheme="minorHAnsi" w:cstheme="minorHAnsi"/>
          <w:sz w:val="24"/>
          <w:szCs w:val="24"/>
        </w:rPr>
        <w:t>PRAG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>)</w:t>
      </w:r>
    </w:p>
    <w:p w:rsidR="00E25022" w:rsidRPr="001B7DFA" w:rsidRDefault="00E25022" w:rsidP="0099027B">
      <w:pPr>
        <w:pStyle w:val="a3"/>
        <w:rPr>
          <w:rFonts w:asciiTheme="minorHAnsi" w:hAnsiTheme="minorHAnsi" w:cstheme="minorHAnsi"/>
          <w:sz w:val="24"/>
          <w:szCs w:val="24"/>
          <w:lang w:val="ru-RU"/>
        </w:rPr>
      </w:pPr>
    </w:p>
    <w:p w:rsidR="00E25022" w:rsidRPr="001B7DFA" w:rsidRDefault="00E25022" w:rsidP="0099027B">
      <w:pPr>
        <w:pStyle w:val="a3"/>
        <w:rPr>
          <w:rFonts w:asciiTheme="minorHAnsi" w:hAnsiTheme="minorHAnsi" w:cstheme="minorHAnsi"/>
          <w:sz w:val="24"/>
          <w:szCs w:val="24"/>
          <w:lang w:val="ru-RU"/>
        </w:rPr>
      </w:pPr>
      <w:r w:rsidRPr="0099027B">
        <w:rPr>
          <w:rFonts w:asciiTheme="minorHAnsi" w:hAnsiTheme="minorHAnsi" w:cstheme="minorHAnsi"/>
          <w:sz w:val="24"/>
          <w:szCs w:val="24"/>
        </w:rPr>
        <w:t>I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>. Критерії виключення, що застосовуються до участі в процедурах закупівель та грантів</w:t>
      </w:r>
    </w:p>
    <w:p w:rsidR="00E25022" w:rsidRPr="001B7DFA" w:rsidRDefault="00E25022" w:rsidP="0099027B">
      <w:pPr>
        <w:pStyle w:val="a3"/>
        <w:rPr>
          <w:rFonts w:asciiTheme="minorHAnsi" w:hAnsiTheme="minorHAnsi" w:cstheme="minorHAnsi"/>
          <w:sz w:val="24"/>
          <w:szCs w:val="24"/>
          <w:lang w:val="ru-RU"/>
        </w:rPr>
      </w:pPr>
    </w:p>
    <w:p w:rsidR="00E25022" w:rsidRPr="001B7DFA" w:rsidRDefault="00E25022" w:rsidP="0099027B">
      <w:pPr>
        <w:pStyle w:val="a3"/>
        <w:rPr>
          <w:rFonts w:asciiTheme="minorHAnsi" w:hAnsiTheme="minorHAnsi" w:cstheme="minorHAnsi"/>
          <w:sz w:val="24"/>
          <w:szCs w:val="24"/>
          <w:lang w:val="ru-RU"/>
        </w:rPr>
      </w:pPr>
      <w:r w:rsidRPr="001B7DFA">
        <w:rPr>
          <w:rFonts w:asciiTheme="minorHAnsi" w:hAnsiTheme="minorHAnsi" w:cstheme="minorHAnsi"/>
          <w:sz w:val="24"/>
          <w:szCs w:val="24"/>
          <w:lang w:val="ru-RU"/>
        </w:rPr>
        <w:t>Кандидати, учасники або заявники будуть відсторонені від участі в процедурах закупівель та грантів, якщо:</w:t>
      </w:r>
    </w:p>
    <w:p w:rsidR="006F626B" w:rsidRPr="001B7DFA" w:rsidRDefault="00E25022" w:rsidP="0099027B">
      <w:pPr>
        <w:pStyle w:val="a3"/>
        <w:numPr>
          <w:ilvl w:val="1"/>
          <w:numId w:val="3"/>
        </w:numPr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вони є банкрутами або 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>перебувають у процесі ліквідовування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 xml:space="preserve">у судових процесах, 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>уклали угоду з кредиторами, призупинили господарську діяльність, є суб’єктами провадження щодо цих питань або перебувають у будь-якій аналогічній ситуації, що виникає внаслідок подібн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>ої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 процедур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>и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>, передбачен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>ої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 національним законодавством або нормативними актами;</w:t>
      </w:r>
    </w:p>
    <w:p w:rsidR="00E25022" w:rsidRPr="001B7DFA" w:rsidRDefault="00E25022" w:rsidP="0099027B">
      <w:pPr>
        <w:pStyle w:val="a3"/>
        <w:numPr>
          <w:ilvl w:val="1"/>
          <w:numId w:val="3"/>
        </w:numPr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вони або особи, які мають повноваження представництва, прийняття рішень або контролю над ними, були засуджені за правопорушення, 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>яке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 стосується їхньої професійної 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>роботи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, вироком компетентного органу держави-члена, який набрав чинності </w:t>
      </w:r>
      <w:r w:rsidRPr="0099027B">
        <w:rPr>
          <w:rFonts w:asciiTheme="minorHAnsi" w:hAnsiTheme="minorHAnsi" w:cstheme="minorHAnsi"/>
          <w:sz w:val="24"/>
          <w:szCs w:val="24"/>
        </w:rPr>
        <w:t>res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99027B">
        <w:rPr>
          <w:rFonts w:asciiTheme="minorHAnsi" w:hAnsiTheme="minorHAnsi" w:cstheme="minorHAnsi"/>
          <w:sz w:val="24"/>
          <w:szCs w:val="24"/>
        </w:rPr>
        <w:t>judicata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>; (тобто оскарження неможливе);</w:t>
      </w:r>
    </w:p>
    <w:p w:rsidR="00E25022" w:rsidRPr="001B7DFA" w:rsidRDefault="00E25022" w:rsidP="0099027B">
      <w:pPr>
        <w:pStyle w:val="a3"/>
        <w:numPr>
          <w:ilvl w:val="1"/>
          <w:numId w:val="3"/>
        </w:numPr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вони були винними у серйозному професійному проступку, доведеному будь-якими засобами, які може 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>довести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 замовник, у тому числі рішеннями Європейського інвестиційного банку та міжнародних організацій;</w:t>
      </w:r>
    </w:p>
    <w:p w:rsidR="00E25022" w:rsidRPr="001B7DFA" w:rsidRDefault="00E25022" w:rsidP="0099027B">
      <w:pPr>
        <w:pStyle w:val="a3"/>
        <w:numPr>
          <w:ilvl w:val="1"/>
          <w:numId w:val="3"/>
        </w:numPr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1B7DFA">
        <w:rPr>
          <w:rFonts w:asciiTheme="minorHAnsi" w:hAnsiTheme="minorHAnsi" w:cstheme="minorHAnsi"/>
          <w:sz w:val="24"/>
          <w:szCs w:val="24"/>
          <w:lang w:val="ru-RU"/>
        </w:rPr>
        <w:t>вони не дотримуються своїх зобов'язань щодо сплати внесків на соціальне страхування або сплати податків відповідно до правових положень країни, в якій вони засновані, або положень країни замовника або положень країни-замовника</w:t>
      </w:r>
      <w:r w:rsidR="009D3E47" w:rsidRPr="0099027B">
        <w:rPr>
          <w:rFonts w:asciiTheme="minorHAnsi" w:hAnsiTheme="minorHAnsi" w:cstheme="minorHAnsi"/>
          <w:sz w:val="24"/>
          <w:szCs w:val="24"/>
          <w:lang w:val="uk-UA"/>
        </w:rPr>
        <w:t xml:space="preserve"> чи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9D3E47" w:rsidRPr="001B7DFA">
        <w:rPr>
          <w:rFonts w:asciiTheme="minorHAnsi" w:hAnsiTheme="minorHAnsi" w:cstheme="minorHAnsi"/>
          <w:sz w:val="24"/>
          <w:szCs w:val="24"/>
          <w:lang w:val="ru-RU"/>
        </w:rPr>
        <w:t>країн</w:t>
      </w:r>
      <w:r w:rsidR="009D3E47" w:rsidRPr="0099027B">
        <w:rPr>
          <w:rFonts w:asciiTheme="minorHAnsi" w:hAnsiTheme="minorHAnsi" w:cstheme="minorHAnsi"/>
          <w:sz w:val="24"/>
          <w:szCs w:val="24"/>
          <w:lang w:val="uk-UA"/>
        </w:rPr>
        <w:t>и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>, де має бути виконано контракт;</w:t>
      </w:r>
    </w:p>
    <w:p w:rsidR="009D3E47" w:rsidRPr="001B7DFA" w:rsidRDefault="009D3E47" w:rsidP="0099027B">
      <w:pPr>
        <w:pStyle w:val="a3"/>
        <w:numPr>
          <w:ilvl w:val="1"/>
          <w:numId w:val="3"/>
        </w:numPr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1B7DFA">
        <w:rPr>
          <w:rFonts w:asciiTheme="minorHAnsi" w:hAnsiTheme="minorHAnsi" w:cstheme="minorHAnsi"/>
          <w:sz w:val="24"/>
          <w:szCs w:val="24"/>
          <w:lang w:val="ru-RU"/>
        </w:rPr>
        <w:t>вони або особи, які мають повноваження представництва, прийняття рішень або контролю над ними, були об’єктом судового рішення, яке набрало законної сили, за шахрайство, корупцію, участь у злочинній організації, відмивання грошей або будь-яку іншу незаконну діяльність, якщо така незаконна діяльність завдає шкоди фінансовим інтересам ЄС;</w:t>
      </w:r>
    </w:p>
    <w:p w:rsidR="009D3E47" w:rsidRPr="001B7DFA" w:rsidRDefault="009D3E47" w:rsidP="0099027B">
      <w:pPr>
        <w:pStyle w:val="a3"/>
        <w:numPr>
          <w:ilvl w:val="1"/>
          <w:numId w:val="3"/>
        </w:numPr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вони 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 xml:space="preserve">в даний момент 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підлягають адміністративному стягненню, зазначеному в статті 109(1) Фінансового регламенту ЄС (для програм, що фінансуються з бюджету ЄС та 11-го </w:t>
      </w:r>
      <w:r w:rsidRPr="0099027B">
        <w:rPr>
          <w:rFonts w:asciiTheme="minorHAnsi" w:hAnsiTheme="minorHAnsi" w:cstheme="minorHAnsi"/>
          <w:sz w:val="24"/>
          <w:szCs w:val="24"/>
        </w:rPr>
        <w:t>EDF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) та у статті 99 Фінансового регламенту 10-го </w:t>
      </w:r>
      <w:r w:rsidRPr="0099027B">
        <w:rPr>
          <w:rFonts w:asciiTheme="minorHAnsi" w:hAnsiTheme="minorHAnsi" w:cstheme="minorHAnsi"/>
          <w:sz w:val="24"/>
          <w:szCs w:val="24"/>
        </w:rPr>
        <w:t>EDF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 (для програм, що фінансуються до 10-го </w:t>
      </w:r>
      <w:r w:rsidRPr="0099027B">
        <w:rPr>
          <w:rFonts w:asciiTheme="minorHAnsi" w:hAnsiTheme="minorHAnsi" w:cstheme="minorHAnsi"/>
          <w:sz w:val="24"/>
          <w:szCs w:val="24"/>
        </w:rPr>
        <w:t>EDF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>).</w:t>
      </w:r>
    </w:p>
    <w:p w:rsidR="006F626B" w:rsidRPr="001B7DFA" w:rsidRDefault="006F626B" w:rsidP="0099027B">
      <w:pPr>
        <w:pStyle w:val="a3"/>
        <w:spacing w:before="5"/>
        <w:jc w:val="left"/>
        <w:rPr>
          <w:rFonts w:asciiTheme="minorHAnsi" w:hAnsiTheme="minorHAnsi" w:cstheme="minorHAnsi"/>
          <w:sz w:val="24"/>
          <w:szCs w:val="24"/>
          <w:lang w:val="ru-RU"/>
        </w:rPr>
      </w:pPr>
    </w:p>
    <w:p w:rsidR="009D3E47" w:rsidRPr="0099027B" w:rsidRDefault="009D3E47" w:rsidP="0099027B">
      <w:pPr>
        <w:pStyle w:val="a3"/>
        <w:spacing w:before="5"/>
        <w:rPr>
          <w:rFonts w:asciiTheme="minorHAnsi" w:hAnsiTheme="minorHAnsi" w:cstheme="minorHAnsi"/>
          <w:sz w:val="24"/>
          <w:szCs w:val="24"/>
          <w:lang w:val="uk-UA"/>
        </w:rPr>
      </w:pPr>
      <w:r w:rsidRPr="001B7DFA">
        <w:rPr>
          <w:rFonts w:asciiTheme="minorHAnsi" w:hAnsiTheme="minorHAnsi" w:cstheme="minorHAnsi"/>
          <w:sz w:val="24"/>
          <w:szCs w:val="24"/>
          <w:lang w:val="ru-RU"/>
        </w:rPr>
        <w:t>Пункти (</w:t>
      </w:r>
      <w:r w:rsidRPr="0099027B">
        <w:rPr>
          <w:rFonts w:asciiTheme="minorHAnsi" w:hAnsiTheme="minorHAnsi" w:cstheme="minorHAnsi"/>
          <w:sz w:val="24"/>
          <w:szCs w:val="24"/>
        </w:rPr>
        <w:t>a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>) - (</w:t>
      </w:r>
      <w:r w:rsidRPr="0099027B">
        <w:rPr>
          <w:rFonts w:asciiTheme="minorHAnsi" w:hAnsiTheme="minorHAnsi" w:cstheme="minorHAnsi"/>
          <w:sz w:val="24"/>
          <w:szCs w:val="24"/>
        </w:rPr>
        <w:t>d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>) не застосовуються до закупівлі поставок на особливо вигідних умовах від постачальника, який остаточно припиняє свою господарську діяльність або розпорядників, або ліквідаторів у справі про банкрутство через угоду з кредиторами або через аналогічну процедуру відповідно до національного законодавства.</w:t>
      </w:r>
    </w:p>
    <w:p w:rsidR="009D3E47" w:rsidRPr="001B7DFA" w:rsidRDefault="009D3E47" w:rsidP="0099027B">
      <w:pPr>
        <w:pStyle w:val="a3"/>
        <w:spacing w:before="5"/>
        <w:rPr>
          <w:rFonts w:asciiTheme="minorHAnsi" w:hAnsiTheme="minorHAnsi" w:cstheme="minorHAnsi"/>
          <w:sz w:val="24"/>
          <w:szCs w:val="24"/>
          <w:lang w:val="ru-RU"/>
        </w:rPr>
      </w:pPr>
    </w:p>
    <w:p w:rsidR="009D3E47" w:rsidRPr="001B7DFA" w:rsidRDefault="009D3E47" w:rsidP="0099027B">
      <w:pPr>
        <w:pStyle w:val="a3"/>
        <w:spacing w:before="5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1B7DFA">
        <w:rPr>
          <w:rFonts w:asciiTheme="minorHAnsi" w:hAnsiTheme="minorHAnsi" w:cstheme="minorHAnsi"/>
          <w:sz w:val="24"/>
          <w:szCs w:val="24"/>
          <w:lang w:val="ru-RU"/>
        </w:rPr>
        <w:t>Пункти (</w:t>
      </w:r>
      <w:r w:rsidRPr="0099027B">
        <w:rPr>
          <w:rFonts w:asciiTheme="minorHAnsi" w:hAnsiTheme="minorHAnsi" w:cstheme="minorHAnsi"/>
          <w:sz w:val="24"/>
          <w:szCs w:val="24"/>
        </w:rPr>
        <w:t>b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>) і (</w:t>
      </w:r>
      <w:r w:rsidRPr="0099027B">
        <w:rPr>
          <w:rFonts w:asciiTheme="minorHAnsi" w:hAnsiTheme="minorHAnsi" w:cstheme="minorHAnsi"/>
          <w:sz w:val="24"/>
          <w:szCs w:val="24"/>
        </w:rPr>
        <w:t>e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) не застосовуються, якщо кандидати, учасники тендеру або заявники можуть продемонструвати, що були вжиті адекватні заходи 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>до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 осіб, які мають повноваження щодо представництва, прийняття рішень або контролю над ними, які підпадають під дію судового рішення, зазначеного в пунктах (</w:t>
      </w:r>
      <w:r w:rsidRPr="0099027B">
        <w:rPr>
          <w:rFonts w:asciiTheme="minorHAnsi" w:hAnsiTheme="minorHAnsi" w:cstheme="minorHAnsi"/>
          <w:sz w:val="24"/>
          <w:szCs w:val="24"/>
        </w:rPr>
        <w:t>b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>) або (</w:t>
      </w:r>
      <w:r w:rsidRPr="0099027B">
        <w:rPr>
          <w:rFonts w:asciiTheme="minorHAnsi" w:hAnsiTheme="minorHAnsi" w:cstheme="minorHAnsi"/>
          <w:sz w:val="24"/>
          <w:szCs w:val="24"/>
        </w:rPr>
        <w:t>e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>).</w:t>
      </w:r>
    </w:p>
    <w:p w:rsidR="009D3E47" w:rsidRPr="001B7DFA" w:rsidRDefault="009D3E47" w:rsidP="0099027B">
      <w:pPr>
        <w:pStyle w:val="a3"/>
        <w:spacing w:before="5"/>
        <w:jc w:val="left"/>
        <w:rPr>
          <w:rFonts w:asciiTheme="minorHAnsi" w:hAnsiTheme="minorHAnsi" w:cstheme="minorHAnsi"/>
          <w:sz w:val="24"/>
          <w:szCs w:val="24"/>
          <w:lang w:val="ru-RU"/>
        </w:rPr>
      </w:pPr>
    </w:p>
    <w:p w:rsidR="00B379A6" w:rsidRPr="001B7DFA" w:rsidRDefault="009D3E47" w:rsidP="0099027B">
      <w:pPr>
        <w:pStyle w:val="a3"/>
        <w:spacing w:before="5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1B7DFA">
        <w:rPr>
          <w:rFonts w:asciiTheme="minorHAnsi" w:hAnsiTheme="minorHAnsi" w:cstheme="minorHAnsi"/>
          <w:sz w:val="24"/>
          <w:szCs w:val="24"/>
          <w:lang w:val="ru-RU"/>
        </w:rPr>
        <w:lastRenderedPageBreak/>
        <w:t>Пункти (</w:t>
      </w:r>
      <w:r w:rsidRPr="0099027B">
        <w:rPr>
          <w:rFonts w:asciiTheme="minorHAnsi" w:hAnsiTheme="minorHAnsi" w:cstheme="minorHAnsi"/>
          <w:sz w:val="24"/>
          <w:szCs w:val="24"/>
        </w:rPr>
        <w:t>a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>), (</w:t>
      </w:r>
      <w:r w:rsidRPr="0099027B">
        <w:rPr>
          <w:rFonts w:asciiTheme="minorHAnsi" w:hAnsiTheme="minorHAnsi" w:cstheme="minorHAnsi"/>
          <w:sz w:val="24"/>
          <w:szCs w:val="24"/>
        </w:rPr>
        <w:t>c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>) і (</w:t>
      </w:r>
      <w:r w:rsidRPr="0099027B">
        <w:rPr>
          <w:rFonts w:asciiTheme="minorHAnsi" w:hAnsiTheme="minorHAnsi" w:cstheme="minorHAnsi"/>
          <w:sz w:val="24"/>
          <w:szCs w:val="24"/>
        </w:rPr>
        <w:t>d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) не застосовуються, якщо це належним чином обґрунтовано замовником у переговорних процедурах, коли необхідно присудити контракт певній організації з технічних чи 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>якісних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 причин або з причин, пов’язаних із захистом </w:t>
      </w:r>
      <w:r w:rsidR="00B379A6" w:rsidRPr="00A404EE">
        <w:rPr>
          <w:rFonts w:asciiTheme="minorHAnsi" w:hAnsiTheme="minorHAnsi" w:cstheme="minorHAnsi"/>
          <w:sz w:val="24"/>
          <w:szCs w:val="24"/>
          <w:lang w:val="uk-UA"/>
        </w:rPr>
        <w:t>права ексклюзивності.</w:t>
      </w:r>
      <w:r w:rsidR="00B379A6" w:rsidRPr="0099027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6F626B" w:rsidRPr="001B7DFA" w:rsidRDefault="006F626B" w:rsidP="0099027B">
      <w:pPr>
        <w:pStyle w:val="a3"/>
        <w:spacing w:before="10"/>
        <w:jc w:val="left"/>
        <w:rPr>
          <w:rFonts w:asciiTheme="minorHAnsi" w:hAnsiTheme="minorHAnsi" w:cstheme="minorHAnsi"/>
          <w:sz w:val="24"/>
          <w:szCs w:val="24"/>
          <w:lang w:val="ru-RU"/>
        </w:rPr>
      </w:pPr>
    </w:p>
    <w:p w:rsidR="00B379A6" w:rsidRPr="001B7DFA" w:rsidRDefault="00B379A6" w:rsidP="00A404EE">
      <w:pPr>
        <w:pStyle w:val="a3"/>
        <w:rPr>
          <w:rFonts w:asciiTheme="minorHAnsi" w:hAnsiTheme="minorHAnsi" w:cstheme="minorHAnsi"/>
          <w:sz w:val="24"/>
          <w:szCs w:val="24"/>
          <w:lang w:val="ru-RU"/>
        </w:rPr>
      </w:pPr>
      <w:r w:rsidRPr="001B7DFA">
        <w:rPr>
          <w:rFonts w:asciiTheme="minorHAnsi" w:hAnsiTheme="minorHAnsi" w:cstheme="minorHAnsi"/>
          <w:sz w:val="24"/>
          <w:szCs w:val="24"/>
          <w:lang w:val="ru-RU"/>
        </w:rPr>
        <w:t>Випадки, зазначені в пункті (</w:t>
      </w:r>
      <w:r w:rsidRPr="0099027B">
        <w:rPr>
          <w:rFonts w:asciiTheme="minorHAnsi" w:hAnsiTheme="minorHAnsi" w:cstheme="minorHAnsi"/>
          <w:sz w:val="24"/>
          <w:szCs w:val="24"/>
        </w:rPr>
        <w:t>e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>), є наступними:</w:t>
      </w:r>
    </w:p>
    <w:p w:rsidR="00B379A6" w:rsidRPr="001B7DFA" w:rsidRDefault="00B379A6" w:rsidP="00A404EE">
      <w:pPr>
        <w:pStyle w:val="a3"/>
        <w:rPr>
          <w:rFonts w:asciiTheme="minorHAnsi" w:hAnsiTheme="minorHAnsi" w:cstheme="minorHAnsi"/>
          <w:sz w:val="24"/>
          <w:szCs w:val="24"/>
          <w:lang w:val="ru-RU"/>
        </w:rPr>
      </w:pPr>
      <w:r w:rsidRPr="001B7DFA">
        <w:rPr>
          <w:rFonts w:asciiTheme="minorHAnsi" w:hAnsiTheme="minorHAnsi" w:cstheme="minorHAnsi"/>
          <w:sz w:val="24"/>
          <w:szCs w:val="24"/>
          <w:lang w:val="ru-RU"/>
        </w:rPr>
        <w:t>1) випадки шахрайства, як зазначено в статті 1 Конвенції про захист фінансових інтересів Європейських Співтовариств, розробленої Актом Ради від 26 липня 1995 року;12</w:t>
      </w:r>
    </w:p>
    <w:p w:rsidR="00B379A6" w:rsidRPr="001B7DFA" w:rsidRDefault="00B379A6" w:rsidP="00A404EE">
      <w:pPr>
        <w:pStyle w:val="a3"/>
        <w:rPr>
          <w:rFonts w:asciiTheme="minorHAnsi" w:hAnsiTheme="minorHAnsi" w:cstheme="minorHAnsi"/>
          <w:sz w:val="24"/>
          <w:szCs w:val="24"/>
          <w:lang w:val="ru-RU"/>
        </w:rPr>
      </w:pPr>
      <w:r w:rsidRPr="001B7DFA">
        <w:rPr>
          <w:rFonts w:asciiTheme="minorHAnsi" w:hAnsiTheme="minorHAnsi" w:cstheme="minorHAnsi"/>
          <w:sz w:val="24"/>
          <w:szCs w:val="24"/>
          <w:lang w:val="ru-RU"/>
        </w:rPr>
        <w:t>2) випадки корупції, про які йдеться у статті 3 Конвенції про боротьбу з корупцією за участю посадових осіб Європейських Співтовариств або посадових осіб держав-членів Європейського Союзу, розробленої Актом Ради від 26 травня 1997 року;13</w:t>
      </w:r>
    </w:p>
    <w:p w:rsidR="00B379A6" w:rsidRPr="001B7DFA" w:rsidRDefault="00B379A6" w:rsidP="00A404EE">
      <w:pPr>
        <w:pStyle w:val="a3"/>
        <w:rPr>
          <w:rFonts w:asciiTheme="minorHAnsi" w:hAnsiTheme="minorHAnsi" w:cstheme="minorHAnsi"/>
          <w:sz w:val="24"/>
          <w:szCs w:val="24"/>
          <w:lang w:val="ru-RU"/>
        </w:rPr>
      </w:pP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3) випадки участі у злочинній організації, як визначено в статті 2 </w:t>
      </w:r>
      <w:r w:rsidRPr="00A404EE">
        <w:rPr>
          <w:rFonts w:asciiTheme="minorHAnsi" w:hAnsiTheme="minorHAnsi" w:cstheme="minorHAnsi"/>
          <w:sz w:val="24"/>
          <w:szCs w:val="24"/>
          <w:lang w:val="uk-UA"/>
        </w:rPr>
        <w:t>Структурного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A404EE">
        <w:rPr>
          <w:rFonts w:asciiTheme="minorHAnsi" w:hAnsiTheme="minorHAnsi" w:cstheme="minorHAnsi"/>
          <w:sz w:val="24"/>
          <w:szCs w:val="24"/>
          <w:lang w:val="uk-UA"/>
        </w:rPr>
        <w:t>прийняття р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>ішен</w:t>
      </w:r>
      <w:r w:rsidRPr="00A404EE">
        <w:rPr>
          <w:rFonts w:asciiTheme="minorHAnsi" w:hAnsiTheme="minorHAnsi" w:cstheme="minorHAnsi"/>
          <w:sz w:val="24"/>
          <w:szCs w:val="24"/>
          <w:lang w:val="uk-UA"/>
        </w:rPr>
        <w:t>ь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 Рад</w:t>
      </w:r>
      <w:r w:rsidRPr="00A404EE">
        <w:rPr>
          <w:rFonts w:asciiTheme="minorHAnsi" w:hAnsiTheme="minorHAnsi" w:cstheme="minorHAnsi"/>
          <w:sz w:val="24"/>
          <w:szCs w:val="24"/>
          <w:lang w:val="uk-UA"/>
        </w:rPr>
        <w:t>ою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 2008/841/</w:t>
      </w:r>
      <w:r w:rsidRPr="00A404EE">
        <w:rPr>
          <w:rFonts w:asciiTheme="minorHAnsi" w:hAnsiTheme="minorHAnsi" w:cstheme="minorHAnsi"/>
          <w:sz w:val="24"/>
          <w:szCs w:val="24"/>
        </w:rPr>
        <w:t>JHA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>14</w:t>
      </w:r>
    </w:p>
    <w:p w:rsidR="00B379A6" w:rsidRPr="001B7DFA" w:rsidRDefault="00B379A6" w:rsidP="00A404EE">
      <w:pPr>
        <w:pStyle w:val="a3"/>
        <w:rPr>
          <w:rFonts w:asciiTheme="minorHAnsi" w:hAnsiTheme="minorHAnsi" w:cstheme="minorHAnsi"/>
          <w:sz w:val="24"/>
          <w:szCs w:val="24"/>
          <w:lang w:val="ru-RU"/>
        </w:rPr>
      </w:pPr>
      <w:r w:rsidRPr="001B7DFA">
        <w:rPr>
          <w:rFonts w:asciiTheme="minorHAnsi" w:hAnsiTheme="minorHAnsi" w:cstheme="minorHAnsi"/>
          <w:sz w:val="24"/>
          <w:szCs w:val="24"/>
          <w:lang w:val="ru-RU"/>
        </w:rPr>
        <w:t>4) випадки відмивання грошей, як визначено у статті 1 Директиви 2005/60/ЄС Європейського Парламенту та Ради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>15;</w:t>
      </w:r>
    </w:p>
    <w:p w:rsidR="00B379A6" w:rsidRPr="001B7DFA" w:rsidRDefault="00B379A6" w:rsidP="00A404EE">
      <w:pPr>
        <w:pStyle w:val="a3"/>
        <w:rPr>
          <w:rFonts w:asciiTheme="minorHAnsi" w:hAnsiTheme="minorHAnsi" w:cstheme="minorHAnsi"/>
          <w:sz w:val="24"/>
          <w:szCs w:val="24"/>
          <w:lang w:val="ru-RU"/>
        </w:rPr>
      </w:pPr>
      <w:r w:rsidRPr="001B7DFA">
        <w:rPr>
          <w:rFonts w:asciiTheme="minorHAnsi" w:hAnsiTheme="minorHAnsi" w:cstheme="minorHAnsi"/>
          <w:sz w:val="24"/>
          <w:szCs w:val="24"/>
          <w:lang w:val="ru-RU"/>
        </w:rPr>
        <w:t>5) справи про терористичні злочини, злочини, пов’язані з терористичною діяльністю, а також підбурювання, пособництво, підбурювання або спроби вчинення таких злочинів, як</w:t>
      </w:r>
      <w:r w:rsidRPr="00A404EE">
        <w:rPr>
          <w:rFonts w:asciiTheme="minorHAnsi" w:hAnsiTheme="minorHAnsi" w:cstheme="minorHAnsi"/>
          <w:sz w:val="24"/>
          <w:szCs w:val="24"/>
          <w:lang w:val="uk-UA"/>
        </w:rPr>
        <w:t xml:space="preserve">і 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визначено в статтях 1, 3 і 4 2 </w:t>
      </w:r>
      <w:r w:rsidRPr="00A404EE">
        <w:rPr>
          <w:rFonts w:asciiTheme="minorHAnsi" w:hAnsiTheme="minorHAnsi" w:cstheme="minorHAnsi"/>
          <w:sz w:val="24"/>
          <w:szCs w:val="24"/>
          <w:lang w:val="uk-UA"/>
        </w:rPr>
        <w:t>Структурного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A404EE">
        <w:rPr>
          <w:rFonts w:asciiTheme="minorHAnsi" w:hAnsiTheme="minorHAnsi" w:cstheme="minorHAnsi"/>
          <w:sz w:val="24"/>
          <w:szCs w:val="24"/>
          <w:lang w:val="uk-UA"/>
        </w:rPr>
        <w:t>прийняття р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>ішен</w:t>
      </w:r>
      <w:r w:rsidRPr="00A404EE">
        <w:rPr>
          <w:rFonts w:asciiTheme="minorHAnsi" w:hAnsiTheme="minorHAnsi" w:cstheme="minorHAnsi"/>
          <w:sz w:val="24"/>
          <w:szCs w:val="24"/>
          <w:lang w:val="uk-UA"/>
        </w:rPr>
        <w:t>ь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 Рад</w:t>
      </w:r>
      <w:r w:rsidRPr="00A404EE">
        <w:rPr>
          <w:rFonts w:asciiTheme="minorHAnsi" w:hAnsiTheme="minorHAnsi" w:cstheme="minorHAnsi"/>
          <w:sz w:val="24"/>
          <w:szCs w:val="24"/>
          <w:lang w:val="uk-UA"/>
        </w:rPr>
        <w:t>ою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 2002/475/</w:t>
      </w:r>
      <w:r w:rsidRPr="00A404EE">
        <w:rPr>
          <w:rFonts w:asciiTheme="minorHAnsi" w:hAnsiTheme="minorHAnsi" w:cstheme="minorHAnsi"/>
          <w:sz w:val="24"/>
          <w:szCs w:val="24"/>
        </w:rPr>
        <w:t>JHA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>16</w:t>
      </w:r>
    </w:p>
    <w:p w:rsidR="006F626B" w:rsidRPr="001B7DFA" w:rsidRDefault="006F626B" w:rsidP="0099027B">
      <w:pPr>
        <w:pStyle w:val="a3"/>
        <w:spacing w:before="4"/>
        <w:jc w:val="left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B379A6" w:rsidRPr="001B7DFA" w:rsidRDefault="00B379A6" w:rsidP="0099027B">
      <w:pPr>
        <w:pStyle w:val="a3"/>
        <w:spacing w:before="4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9027B">
        <w:rPr>
          <w:rFonts w:asciiTheme="minorHAnsi" w:hAnsiTheme="minorHAnsi" w:cstheme="minorHAnsi"/>
          <w:b/>
          <w:sz w:val="24"/>
          <w:szCs w:val="24"/>
        </w:rPr>
        <w:t>II</w:t>
      </w:r>
      <w:r w:rsidRPr="001B7DFA">
        <w:rPr>
          <w:rFonts w:asciiTheme="minorHAnsi" w:hAnsiTheme="minorHAnsi" w:cstheme="minorHAnsi"/>
          <w:b/>
          <w:sz w:val="24"/>
          <w:szCs w:val="24"/>
          <w:lang w:val="ru-RU"/>
        </w:rPr>
        <w:t>. Критерії виключення, що застосовуються під час процедур закупівель та грантів</w:t>
      </w:r>
    </w:p>
    <w:p w:rsidR="00B379A6" w:rsidRPr="001B7DFA" w:rsidRDefault="00B379A6" w:rsidP="0099027B">
      <w:pPr>
        <w:pStyle w:val="a3"/>
        <w:spacing w:before="4"/>
        <w:rPr>
          <w:rFonts w:asciiTheme="minorHAnsi" w:hAnsiTheme="minorHAnsi" w:cstheme="minorHAnsi"/>
          <w:sz w:val="24"/>
          <w:szCs w:val="24"/>
          <w:lang w:val="ru-RU"/>
        </w:rPr>
      </w:pPr>
    </w:p>
    <w:p w:rsidR="00B379A6" w:rsidRPr="001B7DFA" w:rsidRDefault="00B379A6" w:rsidP="0099027B">
      <w:pPr>
        <w:pStyle w:val="a3"/>
        <w:spacing w:before="4"/>
        <w:rPr>
          <w:rFonts w:asciiTheme="minorHAnsi" w:hAnsiTheme="minorHAnsi" w:cstheme="minorHAnsi"/>
          <w:sz w:val="24"/>
          <w:szCs w:val="24"/>
          <w:lang w:val="ru-RU"/>
        </w:rPr>
      </w:pPr>
      <w:r w:rsidRPr="001B7DFA">
        <w:rPr>
          <w:rFonts w:asciiTheme="minorHAnsi" w:hAnsiTheme="minorHAnsi" w:cstheme="minorHAnsi"/>
          <w:sz w:val="24"/>
          <w:szCs w:val="24"/>
          <w:lang w:val="ru-RU"/>
        </w:rPr>
        <w:t>Контракти не можуть бути укладені з кандидатами, заявниками чи учасниками тендеру, які під час процедур закупівель або надання гранту:</w:t>
      </w:r>
    </w:p>
    <w:p w:rsidR="00B379A6" w:rsidRPr="0099027B" w:rsidRDefault="00B379A6" w:rsidP="0099027B">
      <w:pPr>
        <w:pStyle w:val="a3"/>
        <w:numPr>
          <w:ilvl w:val="0"/>
          <w:numId w:val="4"/>
        </w:numPr>
        <w:spacing w:before="4"/>
        <w:rPr>
          <w:rFonts w:asciiTheme="minorHAnsi" w:hAnsiTheme="minorHAnsi" w:cstheme="minorHAnsi"/>
          <w:sz w:val="24"/>
          <w:szCs w:val="24"/>
        </w:rPr>
      </w:pPr>
      <w:r w:rsidRPr="0099027B">
        <w:rPr>
          <w:rFonts w:asciiTheme="minorHAnsi" w:hAnsiTheme="minorHAnsi" w:cstheme="minorHAnsi"/>
          <w:sz w:val="24"/>
          <w:szCs w:val="24"/>
        </w:rPr>
        <w:t>перебувають у конфлікті інтересів;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B379A6" w:rsidRPr="001B7DFA" w:rsidRDefault="00B379A6" w:rsidP="0099027B">
      <w:pPr>
        <w:pStyle w:val="a3"/>
        <w:numPr>
          <w:ilvl w:val="0"/>
          <w:numId w:val="4"/>
        </w:numPr>
        <w:spacing w:before="4"/>
        <w:rPr>
          <w:rFonts w:asciiTheme="minorHAnsi" w:hAnsiTheme="minorHAnsi" w:cstheme="minorHAnsi"/>
          <w:sz w:val="24"/>
          <w:szCs w:val="24"/>
          <w:lang w:val="ru-RU"/>
        </w:rPr>
      </w:pP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винні у введенні неправдивих даних під час надання інформації, яка вимагається замовником як умова участі в процедурі закупівлі, або не надають 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>таку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 інформацію;</w:t>
      </w:r>
      <w:r w:rsidRPr="0099027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B379A6" w:rsidRPr="001B7DFA" w:rsidRDefault="00B379A6" w:rsidP="0099027B">
      <w:pPr>
        <w:pStyle w:val="a3"/>
        <w:numPr>
          <w:ilvl w:val="0"/>
          <w:numId w:val="4"/>
        </w:numPr>
        <w:spacing w:before="4"/>
        <w:rPr>
          <w:rFonts w:asciiTheme="minorHAnsi" w:hAnsiTheme="minorHAnsi" w:cstheme="minorHAnsi"/>
          <w:sz w:val="24"/>
          <w:szCs w:val="24"/>
          <w:lang w:val="ru-RU"/>
        </w:rPr>
      </w:pPr>
      <w:r w:rsidRPr="001B7DFA">
        <w:rPr>
          <w:rFonts w:asciiTheme="minorHAnsi" w:hAnsiTheme="minorHAnsi" w:cstheme="minorHAnsi"/>
          <w:sz w:val="24"/>
          <w:szCs w:val="24"/>
          <w:lang w:val="ru-RU"/>
        </w:rPr>
        <w:t>опинилися в одній із ситуацій виключення для цієї процедури закупівлі чи надання гранту.</w:t>
      </w:r>
    </w:p>
    <w:p w:rsidR="00B379A6" w:rsidRPr="001B7DFA" w:rsidRDefault="00B379A6" w:rsidP="0099027B">
      <w:pPr>
        <w:pStyle w:val="a3"/>
        <w:spacing w:before="4"/>
        <w:rPr>
          <w:rFonts w:asciiTheme="minorHAnsi" w:hAnsiTheme="minorHAnsi" w:cstheme="minorHAnsi"/>
          <w:sz w:val="24"/>
          <w:szCs w:val="24"/>
          <w:lang w:val="ru-RU"/>
        </w:rPr>
      </w:pPr>
    </w:p>
    <w:p w:rsidR="00B379A6" w:rsidRPr="001B7DFA" w:rsidRDefault="00B379A6" w:rsidP="0099027B">
      <w:pPr>
        <w:pStyle w:val="a3"/>
        <w:spacing w:before="4"/>
        <w:jc w:val="left"/>
        <w:rPr>
          <w:rFonts w:asciiTheme="minorHAnsi" w:hAnsiTheme="minorHAnsi" w:cstheme="minorHAnsi"/>
          <w:sz w:val="24"/>
          <w:szCs w:val="24"/>
          <w:lang w:val="ru-RU"/>
        </w:rPr>
      </w:pP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Кандидати, учасники тендеру або заявники, крім тих, хто бере участь у закритій процедурі, переговорній процедурі чи конкурентному діалозі, повинні підписати разом зі своїми заявками декларацію, яка засвідчує, що організація не підпадає під жодну з ситуацій виключення, зазначених у пунктах </w:t>
      </w:r>
      <w:r w:rsidRPr="0099027B">
        <w:rPr>
          <w:rFonts w:asciiTheme="minorHAnsi" w:hAnsiTheme="minorHAnsi" w:cstheme="minorHAnsi"/>
          <w:sz w:val="24"/>
          <w:szCs w:val="24"/>
        </w:rPr>
        <w:t>I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 xml:space="preserve"> та </w:t>
      </w:r>
      <w:r w:rsidRPr="0099027B">
        <w:rPr>
          <w:rFonts w:asciiTheme="minorHAnsi" w:hAnsiTheme="minorHAnsi" w:cstheme="minorHAnsi"/>
          <w:sz w:val="24"/>
          <w:szCs w:val="24"/>
        </w:rPr>
        <w:t>II</w:t>
      </w:r>
      <w:r w:rsidRPr="001B7DFA">
        <w:rPr>
          <w:rFonts w:asciiTheme="minorHAnsi" w:hAnsiTheme="minorHAnsi" w:cstheme="minorHAnsi"/>
          <w:sz w:val="24"/>
          <w:szCs w:val="24"/>
          <w:lang w:val="ru-RU"/>
        </w:rPr>
        <w:t>.</w:t>
      </w:r>
    </w:p>
    <w:sectPr w:rsidR="00B379A6" w:rsidRPr="001B7DFA">
      <w:headerReference w:type="default" r:id="rId8"/>
      <w:footerReference w:type="default" r:id="rId9"/>
      <w:pgSz w:w="11900" w:h="16840"/>
      <w:pgMar w:top="2060" w:right="1300" w:bottom="1120" w:left="1300" w:header="708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90" w:rsidRDefault="00E04E90">
      <w:r>
        <w:separator/>
      </w:r>
    </w:p>
  </w:endnote>
  <w:endnote w:type="continuationSeparator" w:id="0">
    <w:p w:rsidR="00E04E90" w:rsidRDefault="00E0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6B" w:rsidRDefault="00E25022">
    <w:pPr>
      <w:pStyle w:val="a3"/>
      <w:spacing w:line="14" w:lineRule="auto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6141085</wp:posOffset>
              </wp:positionH>
              <wp:positionV relativeFrom="page">
                <wp:posOffset>9967595</wp:posOffset>
              </wp:positionV>
              <wp:extent cx="568325" cy="15684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26B" w:rsidRDefault="00BC35E5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w w:val="80"/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2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02DA">
                            <w:rPr>
                              <w:rFonts w:ascii="Arial"/>
                              <w:b/>
                              <w:noProof/>
                              <w:w w:val="80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3.55pt;margin-top:784.85pt;width:44.75pt;height:1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b4uAIAAKg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" filled="f" stroked="f">
              <v:textbox inset="0,0,0,0">
                <w:txbxContent>
                  <w:p w:rsidR="006F626B" w:rsidRDefault="00BC35E5">
                    <w:pPr>
                      <w:spacing w:before="19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Page</w:t>
                    </w:r>
                    <w:r>
                      <w:rPr>
                        <w:spacing w:val="2"/>
                        <w:w w:val="80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02DA">
                      <w:rPr>
                        <w:rFonts w:ascii="Arial"/>
                        <w:b/>
                        <w:noProof/>
                        <w:w w:val="80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2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of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90" w:rsidRDefault="00E04E90">
      <w:r>
        <w:separator/>
      </w:r>
    </w:p>
  </w:footnote>
  <w:footnote w:type="continuationSeparator" w:id="0">
    <w:p w:rsidR="00E04E90" w:rsidRDefault="00E0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6B" w:rsidRDefault="006F626B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EB0"/>
    <w:multiLevelType w:val="hybridMultilevel"/>
    <w:tmpl w:val="F7C63290"/>
    <w:lvl w:ilvl="0" w:tplc="0B120876">
      <w:start w:val="1"/>
      <w:numFmt w:val="upperRoman"/>
      <w:lvlText w:val="%1."/>
      <w:lvlJc w:val="left"/>
      <w:pPr>
        <w:ind w:left="240" w:hanging="125"/>
      </w:pPr>
      <w:rPr>
        <w:rFonts w:ascii="Arial" w:eastAsia="Arial" w:hAnsi="Arial" w:cs="Arial" w:hint="default"/>
        <w:b/>
        <w:bCs/>
        <w:spacing w:val="1"/>
        <w:w w:val="100"/>
        <w:sz w:val="20"/>
        <w:szCs w:val="20"/>
        <w:lang w:val="en-US" w:eastAsia="en-US" w:bidi="ar-SA"/>
      </w:rPr>
    </w:lvl>
    <w:lvl w:ilvl="1" w:tplc="F2682822">
      <w:start w:val="1"/>
      <w:numFmt w:val="lowerLetter"/>
      <w:lvlText w:val="%2)"/>
      <w:lvlJc w:val="left"/>
      <w:pPr>
        <w:ind w:left="835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159A19FA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02221AD4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4" w:tplc="93023DCA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5" w:tplc="D98C592E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6" w:tplc="C876CBA0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7" w:tplc="559A4DC0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8" w:tplc="4C445B0A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</w:abstractNum>
  <w:abstractNum w:abstractNumId="1">
    <w:nsid w:val="397A4711"/>
    <w:multiLevelType w:val="hybridMultilevel"/>
    <w:tmpl w:val="936635CA"/>
    <w:lvl w:ilvl="0" w:tplc="0740745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32F85"/>
    <w:multiLevelType w:val="hybridMultilevel"/>
    <w:tmpl w:val="8FB6A0D2"/>
    <w:lvl w:ilvl="0" w:tplc="07407450">
      <w:numFmt w:val="bullet"/>
      <w:lvlText w:val=""/>
      <w:lvlJc w:val="left"/>
      <w:pPr>
        <w:ind w:left="828" w:hanging="35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C16BAEC">
      <w:numFmt w:val="bullet"/>
      <w:lvlText w:val="•"/>
      <w:lvlJc w:val="left"/>
      <w:pPr>
        <w:ind w:left="1668" w:hanging="356"/>
      </w:pPr>
      <w:rPr>
        <w:rFonts w:hint="default"/>
        <w:lang w:val="en-US" w:eastAsia="en-US" w:bidi="ar-SA"/>
      </w:rPr>
    </w:lvl>
    <w:lvl w:ilvl="2" w:tplc="6986A49E">
      <w:numFmt w:val="bullet"/>
      <w:lvlText w:val="•"/>
      <w:lvlJc w:val="left"/>
      <w:pPr>
        <w:ind w:left="2516" w:hanging="356"/>
      </w:pPr>
      <w:rPr>
        <w:rFonts w:hint="default"/>
        <w:lang w:val="en-US" w:eastAsia="en-US" w:bidi="ar-SA"/>
      </w:rPr>
    </w:lvl>
    <w:lvl w:ilvl="3" w:tplc="E2F67398">
      <w:numFmt w:val="bullet"/>
      <w:lvlText w:val="•"/>
      <w:lvlJc w:val="left"/>
      <w:pPr>
        <w:ind w:left="3364" w:hanging="356"/>
      </w:pPr>
      <w:rPr>
        <w:rFonts w:hint="default"/>
        <w:lang w:val="en-US" w:eastAsia="en-US" w:bidi="ar-SA"/>
      </w:rPr>
    </w:lvl>
    <w:lvl w:ilvl="4" w:tplc="FB88237A">
      <w:numFmt w:val="bullet"/>
      <w:lvlText w:val="•"/>
      <w:lvlJc w:val="left"/>
      <w:pPr>
        <w:ind w:left="4212" w:hanging="356"/>
      </w:pPr>
      <w:rPr>
        <w:rFonts w:hint="default"/>
        <w:lang w:val="en-US" w:eastAsia="en-US" w:bidi="ar-SA"/>
      </w:rPr>
    </w:lvl>
    <w:lvl w:ilvl="5" w:tplc="5512FDF8">
      <w:numFmt w:val="bullet"/>
      <w:lvlText w:val="•"/>
      <w:lvlJc w:val="left"/>
      <w:pPr>
        <w:ind w:left="5060" w:hanging="356"/>
      </w:pPr>
      <w:rPr>
        <w:rFonts w:hint="default"/>
        <w:lang w:val="en-US" w:eastAsia="en-US" w:bidi="ar-SA"/>
      </w:rPr>
    </w:lvl>
    <w:lvl w:ilvl="6" w:tplc="B6CAEA7A">
      <w:numFmt w:val="bullet"/>
      <w:lvlText w:val="•"/>
      <w:lvlJc w:val="left"/>
      <w:pPr>
        <w:ind w:left="5908" w:hanging="356"/>
      </w:pPr>
      <w:rPr>
        <w:rFonts w:hint="default"/>
        <w:lang w:val="en-US" w:eastAsia="en-US" w:bidi="ar-SA"/>
      </w:rPr>
    </w:lvl>
    <w:lvl w:ilvl="7" w:tplc="E286C5A2">
      <w:numFmt w:val="bullet"/>
      <w:lvlText w:val="•"/>
      <w:lvlJc w:val="left"/>
      <w:pPr>
        <w:ind w:left="6756" w:hanging="356"/>
      </w:pPr>
      <w:rPr>
        <w:rFonts w:hint="default"/>
        <w:lang w:val="en-US" w:eastAsia="en-US" w:bidi="ar-SA"/>
      </w:rPr>
    </w:lvl>
    <w:lvl w:ilvl="8" w:tplc="59963EF6">
      <w:numFmt w:val="bullet"/>
      <w:lvlText w:val="•"/>
      <w:lvlJc w:val="left"/>
      <w:pPr>
        <w:ind w:left="7604" w:hanging="356"/>
      </w:pPr>
      <w:rPr>
        <w:rFonts w:hint="default"/>
        <w:lang w:val="en-US" w:eastAsia="en-US" w:bidi="ar-SA"/>
      </w:rPr>
    </w:lvl>
  </w:abstractNum>
  <w:abstractNum w:abstractNumId="3">
    <w:nsid w:val="5E7154D4"/>
    <w:multiLevelType w:val="hybridMultilevel"/>
    <w:tmpl w:val="29D89E88"/>
    <w:lvl w:ilvl="0" w:tplc="37A870FE">
      <w:start w:val="1"/>
      <w:numFmt w:val="decimal"/>
      <w:lvlText w:val="%1)"/>
      <w:lvlJc w:val="left"/>
      <w:pPr>
        <w:ind w:left="828" w:hanging="28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5E5A2CE2">
      <w:numFmt w:val="bullet"/>
      <w:lvlText w:val="•"/>
      <w:lvlJc w:val="left"/>
      <w:pPr>
        <w:ind w:left="1668" w:hanging="288"/>
      </w:pPr>
      <w:rPr>
        <w:rFonts w:hint="default"/>
        <w:lang w:val="en-US" w:eastAsia="en-US" w:bidi="ar-SA"/>
      </w:rPr>
    </w:lvl>
    <w:lvl w:ilvl="2" w:tplc="590CB466">
      <w:numFmt w:val="bullet"/>
      <w:lvlText w:val="•"/>
      <w:lvlJc w:val="left"/>
      <w:pPr>
        <w:ind w:left="2516" w:hanging="288"/>
      </w:pPr>
      <w:rPr>
        <w:rFonts w:hint="default"/>
        <w:lang w:val="en-US" w:eastAsia="en-US" w:bidi="ar-SA"/>
      </w:rPr>
    </w:lvl>
    <w:lvl w:ilvl="3" w:tplc="5D449394">
      <w:numFmt w:val="bullet"/>
      <w:lvlText w:val="•"/>
      <w:lvlJc w:val="left"/>
      <w:pPr>
        <w:ind w:left="3364" w:hanging="288"/>
      </w:pPr>
      <w:rPr>
        <w:rFonts w:hint="default"/>
        <w:lang w:val="en-US" w:eastAsia="en-US" w:bidi="ar-SA"/>
      </w:rPr>
    </w:lvl>
    <w:lvl w:ilvl="4" w:tplc="1C4E49A6">
      <w:numFmt w:val="bullet"/>
      <w:lvlText w:val="•"/>
      <w:lvlJc w:val="left"/>
      <w:pPr>
        <w:ind w:left="4212" w:hanging="288"/>
      </w:pPr>
      <w:rPr>
        <w:rFonts w:hint="default"/>
        <w:lang w:val="en-US" w:eastAsia="en-US" w:bidi="ar-SA"/>
      </w:rPr>
    </w:lvl>
    <w:lvl w:ilvl="5" w:tplc="B5EC90DC">
      <w:numFmt w:val="bullet"/>
      <w:lvlText w:val="•"/>
      <w:lvlJc w:val="left"/>
      <w:pPr>
        <w:ind w:left="5060" w:hanging="288"/>
      </w:pPr>
      <w:rPr>
        <w:rFonts w:hint="default"/>
        <w:lang w:val="en-US" w:eastAsia="en-US" w:bidi="ar-SA"/>
      </w:rPr>
    </w:lvl>
    <w:lvl w:ilvl="6" w:tplc="B65C9BFC">
      <w:numFmt w:val="bullet"/>
      <w:lvlText w:val="•"/>
      <w:lvlJc w:val="left"/>
      <w:pPr>
        <w:ind w:left="5908" w:hanging="288"/>
      </w:pPr>
      <w:rPr>
        <w:rFonts w:hint="default"/>
        <w:lang w:val="en-US" w:eastAsia="en-US" w:bidi="ar-SA"/>
      </w:rPr>
    </w:lvl>
    <w:lvl w:ilvl="7" w:tplc="8B107F3A">
      <w:numFmt w:val="bullet"/>
      <w:lvlText w:val="•"/>
      <w:lvlJc w:val="left"/>
      <w:pPr>
        <w:ind w:left="6756" w:hanging="288"/>
      </w:pPr>
      <w:rPr>
        <w:rFonts w:hint="default"/>
        <w:lang w:val="en-US" w:eastAsia="en-US" w:bidi="ar-SA"/>
      </w:rPr>
    </w:lvl>
    <w:lvl w:ilvl="8" w:tplc="3D94A400">
      <w:numFmt w:val="bullet"/>
      <w:lvlText w:val="•"/>
      <w:lvlJc w:val="left"/>
      <w:pPr>
        <w:ind w:left="7604" w:hanging="28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6B"/>
    <w:rsid w:val="000C1E12"/>
    <w:rsid w:val="001B7DFA"/>
    <w:rsid w:val="002416AB"/>
    <w:rsid w:val="002930B2"/>
    <w:rsid w:val="0040702C"/>
    <w:rsid w:val="005738A6"/>
    <w:rsid w:val="005C0548"/>
    <w:rsid w:val="006F626B"/>
    <w:rsid w:val="008302DA"/>
    <w:rsid w:val="008F37BD"/>
    <w:rsid w:val="0099027B"/>
    <w:rsid w:val="009D3E47"/>
    <w:rsid w:val="00A404EE"/>
    <w:rsid w:val="00B379A6"/>
    <w:rsid w:val="00BC35E5"/>
    <w:rsid w:val="00E04E90"/>
    <w:rsid w:val="00E2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ind w:left="240" w:hanging="249"/>
      <w:outlineLvl w:val="0"/>
    </w:pPr>
    <w:rPr>
      <w:rFonts w:ascii="Arial" w:eastAsia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0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0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</w:style>
  <w:style w:type="paragraph" w:styleId="a4">
    <w:name w:val="Title"/>
    <w:basedOn w:val="a"/>
    <w:uiPriority w:val="1"/>
    <w:qFormat/>
    <w:pPr>
      <w:spacing w:before="215"/>
      <w:ind w:left="115"/>
      <w:jc w:val="both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8" w:right="107" w:hanging="3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E250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5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30B2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0B2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2930B2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30B2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ind w:left="240" w:hanging="249"/>
      <w:outlineLvl w:val="0"/>
    </w:pPr>
    <w:rPr>
      <w:rFonts w:ascii="Arial" w:eastAsia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0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0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</w:style>
  <w:style w:type="paragraph" w:styleId="a4">
    <w:name w:val="Title"/>
    <w:basedOn w:val="a"/>
    <w:uiPriority w:val="1"/>
    <w:qFormat/>
    <w:pPr>
      <w:spacing w:before="215"/>
      <w:ind w:left="115"/>
      <w:jc w:val="both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8" w:right="107" w:hanging="3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E250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25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930B2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30B2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2930B2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30B2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Annex 4_Exclusion Criteria</vt:lpstr>
    </vt:vector>
  </TitlesOfParts>
  <Company>Krokoz™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4_Exclusion Criteria</dc:title>
  <dc:creator>MMaetzl</dc:creator>
  <cp:lastModifiedBy>admin</cp:lastModifiedBy>
  <cp:revision>2</cp:revision>
  <dcterms:created xsi:type="dcterms:W3CDTF">2023-06-15T13:53:00Z</dcterms:created>
  <dcterms:modified xsi:type="dcterms:W3CDTF">2023-06-15T13:53:00Z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2023-05-11T00:00:00Z</vt:filetime>
  </property>
</Properties>
</file>